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F10E19" w:rsidRDefault="007E6CF8" w:rsidP="007C64CA">
      <w:pPr>
        <w:rPr>
          <w:rFonts w:asciiTheme="minorHAnsi" w:hAnsiTheme="minorHAnsi" w:cstheme="minorHAnsi"/>
          <w:b/>
        </w:rPr>
      </w:pPr>
    </w:p>
    <w:p w:rsidR="007C64CA" w:rsidRPr="00F10E19" w:rsidRDefault="007C64CA" w:rsidP="007C64CA">
      <w:pPr>
        <w:rPr>
          <w:rFonts w:asciiTheme="minorHAnsi" w:hAnsiTheme="minorHAnsi" w:cstheme="minorHAnsi"/>
          <w:b/>
        </w:rPr>
      </w:pPr>
    </w:p>
    <w:p w:rsidR="00030614" w:rsidRPr="00F10E19" w:rsidRDefault="00CB770A" w:rsidP="002E127F">
      <w:pPr>
        <w:jc w:val="center"/>
        <w:rPr>
          <w:rFonts w:asciiTheme="minorHAnsi" w:hAnsiTheme="minorHAnsi" w:cstheme="minorHAnsi"/>
          <w:b/>
        </w:rPr>
      </w:pPr>
      <w:r w:rsidRPr="00F10E19">
        <w:rPr>
          <w:rFonts w:asciiTheme="minorHAnsi" w:hAnsiTheme="minorHAnsi" w:cstheme="minorHAnsi"/>
          <w:b/>
        </w:rPr>
        <w:t>CONSELHO ESTADUAL DO MEIO AMBIENTE – CONSEMA</w:t>
      </w:r>
    </w:p>
    <w:p w:rsidR="00ED528E" w:rsidRDefault="00ED528E" w:rsidP="00E23E85">
      <w:pPr>
        <w:rPr>
          <w:rFonts w:asciiTheme="minorHAnsi" w:hAnsiTheme="minorHAnsi" w:cstheme="minorHAnsi"/>
          <w:b/>
        </w:rPr>
      </w:pPr>
    </w:p>
    <w:p w:rsidR="00233527" w:rsidRPr="00233527" w:rsidRDefault="00233527" w:rsidP="00E23E85">
      <w:pPr>
        <w:rPr>
          <w:rFonts w:asciiTheme="minorHAnsi" w:hAnsiTheme="minorHAnsi" w:cstheme="minorHAnsi"/>
          <w:b/>
        </w:rPr>
      </w:pPr>
    </w:p>
    <w:p w:rsidR="00F10E19" w:rsidRPr="00233527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23352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33527" w:rsidRPr="00233527">
        <w:rPr>
          <w:rFonts w:asciiTheme="minorHAnsi" w:hAnsiTheme="minorHAnsi" w:cstheme="minorHAnsi"/>
          <w:b/>
          <w:sz w:val="22"/>
          <w:szCs w:val="22"/>
        </w:rPr>
        <w:t>743577/2010.</w:t>
      </w:r>
    </w:p>
    <w:p w:rsidR="00E61B94" w:rsidRPr="00233527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23352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33527" w:rsidRPr="00233527">
        <w:rPr>
          <w:rFonts w:asciiTheme="minorHAnsi" w:hAnsiTheme="minorHAnsi" w:cstheme="minorHAnsi"/>
          <w:b/>
          <w:sz w:val="22"/>
          <w:szCs w:val="22"/>
        </w:rPr>
        <w:t>Prefeitura Municipal de Barão de Melgaço – MT</w:t>
      </w:r>
      <w:r w:rsidR="00427EB0">
        <w:rPr>
          <w:rFonts w:asciiTheme="minorHAnsi" w:hAnsiTheme="minorHAnsi" w:cstheme="minorHAnsi"/>
          <w:b/>
          <w:sz w:val="22"/>
          <w:szCs w:val="22"/>
        </w:rPr>
        <w:t>.</w:t>
      </w:r>
    </w:p>
    <w:p w:rsidR="00F10E19" w:rsidRPr="00233527" w:rsidRDefault="00181A5D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233527" w:rsidRPr="00233527">
        <w:rPr>
          <w:rFonts w:asciiTheme="minorHAnsi" w:hAnsiTheme="minorHAnsi" w:cstheme="minorHAnsi"/>
          <w:sz w:val="22"/>
          <w:szCs w:val="22"/>
        </w:rPr>
        <w:t>122380, 26/08/2010.</w:t>
      </w:r>
    </w:p>
    <w:p w:rsidR="00233527" w:rsidRPr="00233527" w:rsidRDefault="00233527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Relator – Flávio Lima de Olivei</w:t>
      </w:r>
      <w:r w:rsidR="00427EB0">
        <w:rPr>
          <w:rFonts w:asciiTheme="minorHAnsi" w:hAnsiTheme="minorHAnsi" w:cstheme="minorHAnsi"/>
          <w:sz w:val="22"/>
          <w:szCs w:val="22"/>
        </w:rPr>
        <w:t>ra – SINFRA.</w:t>
      </w:r>
    </w:p>
    <w:p w:rsidR="00F10E19" w:rsidRPr="00233527" w:rsidRDefault="00F10E19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 xml:space="preserve">Advogada – </w:t>
      </w:r>
      <w:proofErr w:type="spellStart"/>
      <w:r w:rsidR="00233527" w:rsidRPr="00233527">
        <w:rPr>
          <w:rFonts w:asciiTheme="minorHAnsi" w:hAnsiTheme="minorHAnsi" w:cstheme="minorHAnsi"/>
          <w:sz w:val="22"/>
          <w:szCs w:val="22"/>
        </w:rPr>
        <w:t>Francieli</w:t>
      </w:r>
      <w:proofErr w:type="spellEnd"/>
      <w:r w:rsidR="00233527" w:rsidRPr="00233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3527" w:rsidRPr="00233527">
        <w:rPr>
          <w:rFonts w:asciiTheme="minorHAnsi" w:hAnsiTheme="minorHAnsi" w:cstheme="minorHAnsi"/>
          <w:sz w:val="22"/>
          <w:szCs w:val="22"/>
        </w:rPr>
        <w:t>Britzius</w:t>
      </w:r>
      <w:proofErr w:type="spellEnd"/>
      <w:r w:rsidR="00233527" w:rsidRPr="00233527">
        <w:rPr>
          <w:rFonts w:asciiTheme="minorHAnsi" w:hAnsiTheme="minorHAnsi" w:cstheme="minorHAnsi"/>
          <w:sz w:val="22"/>
          <w:szCs w:val="22"/>
        </w:rPr>
        <w:t xml:space="preserve"> – OAB/MT 19138 (Procuradora Geral).</w:t>
      </w:r>
    </w:p>
    <w:p w:rsidR="00233527" w:rsidRPr="00233527" w:rsidRDefault="00A341F5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3</w:t>
      </w:r>
      <w:r w:rsidR="00E23E85" w:rsidRPr="00233527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F10E19" w:rsidRPr="00233527" w:rsidRDefault="002B066D" w:rsidP="002335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382</w:t>
      </w:r>
      <w:bookmarkStart w:id="0" w:name="_GoBack"/>
      <w:bookmarkEnd w:id="0"/>
      <w:r w:rsidR="00F10E19" w:rsidRPr="00233527">
        <w:rPr>
          <w:rFonts w:asciiTheme="minorHAnsi" w:hAnsiTheme="minorHAnsi" w:cstheme="minorHAnsi"/>
          <w:b/>
          <w:sz w:val="22"/>
          <w:szCs w:val="22"/>
        </w:rPr>
        <w:t>/2021</w:t>
      </w:r>
    </w:p>
    <w:p w:rsidR="00233527" w:rsidRPr="00233527" w:rsidRDefault="00233527" w:rsidP="002335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3527" w:rsidRPr="00233527" w:rsidRDefault="00233527" w:rsidP="00233527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Auto de Infração n° 122380, 26/08/2010. Auto de Inspeção n° 142894, de 26/08/2010. Termo de Embargo/Interdição n° 124406, de 26/08/2010. Termo de Apreensão n° 122209, de 26/08/2010. Relatório Técnico n° 222/SUF/CFE/2010. Por executar obras que interferem da flora natural das águas se, autorização do órgão ambiental competente. Conforme relatório técnico n° 174/CFFL/SUF/SEMA/2019. Decisão Administrativa n. 555/SPA/SEMA/2018, de 16/03/2018, pela homologação do Auto de Infração n. 142894, de 26/08/2010, arbitrando multa de R$ 100.000,00 (cem mil reais), com fulcro no artigo 66 Decreto Federal 6514/2008. Requer o recorrente que seja declarada nula a multa, ante a ilegitimidade do sujeito passivo da multa, já que o recorrente não era o responsável pelas obras de interferência no fluxo natural de água, pelo qual não pode ser responsabilizado. A declaração da prescrição intercorrente, nos termos do parágrafo 1° do artigo 1° da Lei 9.873/99 (que estabelece prazo de prescrição para o exercício de ação punitiva pela Administração Pública Federal, direta ou indireta), restando paralisado o processo administrativo durante período superior a 3 (três) anos, pendendo de julgamento ou despacho, resta configurada a prescrição intercorrente. A declaração de decadência da multa, pelos fundamentos supra exposto. Recurso provido.</w:t>
      </w:r>
    </w:p>
    <w:p w:rsidR="00862F56" w:rsidRPr="00233527" w:rsidRDefault="00862F56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233527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233527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23352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233527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233527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233527" w:rsidRPr="0023352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33527" w:rsidRPr="00233527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relator, que entre a data da lavratura do Auto Infração – A. I n° 122380 (fls. 02) e a prolação da Decisão Administrativa n° 555/SPA/SEMA/2018 (fls. 34/35) houve o transcurso de um prazo maior que 07 (sete) anos, sem que a Administração Pública tomasse qualquer ato inequívoco que importasse apuração do fato, o que possibilitou a caracterização do instituto da prescrição quinquenal. Diante dos fatos e fundamentos ora apresentados, conhecemos do recurso administrativo apresentado e no mérito damos provimento, haja vista que ocorrido o instituto da prescrição da pretensão punitiva.</w:t>
      </w:r>
    </w:p>
    <w:p w:rsidR="00655CAF" w:rsidRPr="00233527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233527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233527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233527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 </w:t>
      </w:r>
      <w:r w:rsidRPr="00233527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 </w:t>
      </w:r>
      <w:r w:rsidRPr="00233527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</w:t>
      </w:r>
      <w:r w:rsidRPr="00233527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233527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233527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233527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 </w:t>
      </w:r>
      <w:r w:rsidRPr="00233527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 </w:t>
      </w:r>
      <w:r w:rsidRPr="00233527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</w:t>
      </w:r>
      <w:r w:rsidRPr="00233527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233527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233527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233527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233527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3527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233527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233527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233527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233527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233527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335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233527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233527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23352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3E5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066D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0B3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ED46-C8EE-4412-9DCD-CCCFA360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2021-11-30T17:36:00Z</dcterms:created>
  <dcterms:modified xsi:type="dcterms:W3CDTF">2021-11-30T17:36:00Z</dcterms:modified>
</cp:coreProperties>
</file>